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075B8" w14:textId="77777777" w:rsidR="00BD04DD" w:rsidRPr="008F0036" w:rsidRDefault="008F0036" w:rsidP="002E1316">
      <w:pPr>
        <w:pStyle w:val="a3"/>
        <w:ind w:left="0"/>
        <w:jc w:val="center"/>
        <w:rPr>
          <w:lang w:val="en-US"/>
        </w:rPr>
      </w:pPr>
      <w:r>
        <w:rPr>
          <w:lang w:val="en-US"/>
        </w:rPr>
        <w:t>Corporate action notice/Insider information disclosure</w:t>
      </w:r>
    </w:p>
    <w:p w14:paraId="1170DC9A" w14:textId="77777777" w:rsidR="00BD04DD" w:rsidRPr="008F0036" w:rsidRDefault="008F0036" w:rsidP="002E1316">
      <w:pPr>
        <w:pStyle w:val="a3"/>
        <w:ind w:left="0"/>
        <w:jc w:val="center"/>
        <w:rPr>
          <w:lang w:val="en-US"/>
        </w:rPr>
      </w:pPr>
      <w:r>
        <w:rPr>
          <w:lang w:val="en-US"/>
        </w:rPr>
        <w:t>"On the appearance of an organization controlled by the issuer that is of significant importance to it"</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6"/>
        <w:gridCol w:w="942"/>
        <w:gridCol w:w="1348"/>
        <w:gridCol w:w="1516"/>
        <w:gridCol w:w="613"/>
        <w:gridCol w:w="1479"/>
        <w:gridCol w:w="2916"/>
      </w:tblGrid>
      <w:tr w:rsidR="00BB04D2" w14:paraId="70D40F34" w14:textId="77777777" w:rsidTr="002E1316">
        <w:trPr>
          <w:trHeight w:val="20"/>
        </w:trPr>
        <w:tc>
          <w:tcPr>
            <w:tcW w:w="5000" w:type="pct"/>
            <w:gridSpan w:val="7"/>
          </w:tcPr>
          <w:p w14:paraId="31CBC1BC" w14:textId="77777777" w:rsidR="00BD04DD" w:rsidRDefault="008F0036" w:rsidP="00957FFC">
            <w:pPr>
              <w:pStyle w:val="TableParagraph"/>
              <w:ind w:left="0"/>
              <w:jc w:val="center"/>
              <w:rPr>
                <w:sz w:val="23"/>
              </w:rPr>
            </w:pPr>
            <w:r>
              <w:rPr>
                <w:sz w:val="23"/>
                <w:lang w:val="en-US"/>
              </w:rPr>
              <w:t>1. General</w:t>
            </w:r>
          </w:p>
        </w:tc>
      </w:tr>
      <w:tr w:rsidR="00BB04D2" w:rsidRPr="008F0036" w14:paraId="7252ED58" w14:textId="77777777" w:rsidTr="002E1316">
        <w:trPr>
          <w:trHeight w:val="20"/>
        </w:trPr>
        <w:tc>
          <w:tcPr>
            <w:tcW w:w="2518" w:type="pct"/>
            <w:gridSpan w:val="4"/>
          </w:tcPr>
          <w:p w14:paraId="125829CA" w14:textId="77777777" w:rsidR="00BD04DD" w:rsidRPr="008F0036" w:rsidRDefault="008F0036" w:rsidP="002E1316">
            <w:pPr>
              <w:pStyle w:val="TableParagraph"/>
              <w:ind w:left="0"/>
              <w:rPr>
                <w:sz w:val="23"/>
                <w:lang w:val="en-US"/>
              </w:rPr>
            </w:pPr>
            <w:r>
              <w:rPr>
                <w:sz w:val="23"/>
                <w:lang w:val="en-US"/>
              </w:rPr>
              <w:t>1.1. Full corporate name of the Issuer:</w:t>
            </w:r>
          </w:p>
        </w:tc>
        <w:tc>
          <w:tcPr>
            <w:tcW w:w="2482" w:type="pct"/>
            <w:gridSpan w:val="3"/>
          </w:tcPr>
          <w:p w14:paraId="5B47F370" w14:textId="77777777" w:rsidR="00BD04DD" w:rsidRPr="008F0036" w:rsidRDefault="008F0036" w:rsidP="002E1316">
            <w:pPr>
              <w:pStyle w:val="TableParagraph"/>
              <w:ind w:left="0"/>
              <w:rPr>
                <w:b/>
                <w:sz w:val="23"/>
                <w:lang w:val="en-US"/>
              </w:rPr>
            </w:pPr>
            <w:r>
              <w:rPr>
                <w:b/>
                <w:sz w:val="23"/>
                <w:lang w:val="en-US"/>
              </w:rPr>
              <w:t xml:space="preserve">Public Joint Stock Company </w:t>
            </w:r>
            <w:r>
              <w:rPr>
                <w:b/>
                <w:sz w:val="23"/>
                <w:lang w:val="en-US"/>
              </w:rPr>
              <w:t>"Interregional Distribution Grid Company of the South”</w:t>
            </w:r>
          </w:p>
        </w:tc>
      </w:tr>
      <w:tr w:rsidR="00BB04D2" w:rsidRPr="008F0036" w14:paraId="4EB91D86" w14:textId="77777777" w:rsidTr="002E1316">
        <w:trPr>
          <w:trHeight w:val="20"/>
        </w:trPr>
        <w:tc>
          <w:tcPr>
            <w:tcW w:w="2518" w:type="pct"/>
            <w:gridSpan w:val="4"/>
          </w:tcPr>
          <w:p w14:paraId="72684B1E" w14:textId="77777777" w:rsidR="00BD04DD" w:rsidRPr="008F0036" w:rsidRDefault="008F0036" w:rsidP="002E1316">
            <w:pPr>
              <w:pStyle w:val="TableParagraph"/>
              <w:ind w:left="0"/>
              <w:rPr>
                <w:sz w:val="23"/>
                <w:lang w:val="en-US"/>
              </w:rPr>
            </w:pPr>
            <w:r>
              <w:rPr>
                <w:sz w:val="23"/>
                <w:lang w:val="en-US"/>
              </w:rPr>
              <w:t>1.2. Abbreviated corporate name of the Issuer:</w:t>
            </w:r>
          </w:p>
        </w:tc>
        <w:tc>
          <w:tcPr>
            <w:tcW w:w="2482" w:type="pct"/>
            <w:gridSpan w:val="3"/>
          </w:tcPr>
          <w:p w14:paraId="2616AB5F" w14:textId="77777777" w:rsidR="00BD04DD" w:rsidRPr="008F0036" w:rsidRDefault="008F0036" w:rsidP="002E1316">
            <w:pPr>
              <w:pStyle w:val="TableParagraph"/>
              <w:ind w:left="0"/>
              <w:rPr>
                <w:b/>
                <w:sz w:val="23"/>
                <w:lang w:val="en-US"/>
              </w:rPr>
            </w:pPr>
            <w:r>
              <w:rPr>
                <w:b/>
                <w:sz w:val="23"/>
                <w:lang w:val="en-US"/>
              </w:rPr>
              <w:t>IDGC of the South, PJSC</w:t>
            </w:r>
          </w:p>
        </w:tc>
      </w:tr>
      <w:tr w:rsidR="00BB04D2" w:rsidRPr="008F0036" w14:paraId="29DBF5E1" w14:textId="77777777" w:rsidTr="002E1316">
        <w:trPr>
          <w:trHeight w:val="20"/>
        </w:trPr>
        <w:tc>
          <w:tcPr>
            <w:tcW w:w="2518" w:type="pct"/>
            <w:gridSpan w:val="4"/>
          </w:tcPr>
          <w:p w14:paraId="2EAE787F" w14:textId="77777777" w:rsidR="00BD04DD" w:rsidRDefault="008F0036" w:rsidP="002E1316">
            <w:pPr>
              <w:pStyle w:val="TableParagraph"/>
              <w:ind w:left="0"/>
              <w:rPr>
                <w:sz w:val="23"/>
              </w:rPr>
            </w:pPr>
            <w:r>
              <w:rPr>
                <w:sz w:val="23"/>
                <w:lang w:val="en-US"/>
              </w:rPr>
              <w:t>1.3. Location of the Issuer:</w:t>
            </w:r>
          </w:p>
        </w:tc>
        <w:tc>
          <w:tcPr>
            <w:tcW w:w="2482" w:type="pct"/>
            <w:gridSpan w:val="3"/>
          </w:tcPr>
          <w:p w14:paraId="7651594E" w14:textId="77777777" w:rsidR="00BD04DD" w:rsidRPr="008F0036" w:rsidRDefault="008F0036" w:rsidP="002E1316">
            <w:pPr>
              <w:pStyle w:val="TableParagraph"/>
              <w:ind w:left="0"/>
              <w:rPr>
                <w:b/>
                <w:sz w:val="23"/>
                <w:lang w:val="en-US"/>
              </w:rPr>
            </w:pPr>
            <w:r>
              <w:rPr>
                <w:b/>
                <w:sz w:val="23"/>
                <w:lang w:val="en-US"/>
              </w:rPr>
              <w:t>Rostov-on-Don, Russian Federation</w:t>
            </w:r>
          </w:p>
        </w:tc>
      </w:tr>
      <w:tr w:rsidR="00BB04D2" w14:paraId="3FCA80D9" w14:textId="77777777" w:rsidTr="002E1316">
        <w:trPr>
          <w:trHeight w:val="20"/>
        </w:trPr>
        <w:tc>
          <w:tcPr>
            <w:tcW w:w="2518" w:type="pct"/>
            <w:gridSpan w:val="4"/>
          </w:tcPr>
          <w:p w14:paraId="76748BFB" w14:textId="77777777" w:rsidR="00BD04DD" w:rsidRDefault="008F0036" w:rsidP="002E1316">
            <w:pPr>
              <w:pStyle w:val="TableParagraph"/>
              <w:ind w:left="0"/>
              <w:rPr>
                <w:sz w:val="23"/>
              </w:rPr>
            </w:pPr>
            <w:r>
              <w:rPr>
                <w:sz w:val="23"/>
                <w:lang w:val="en-US"/>
              </w:rPr>
              <w:t>1.4. OGRN of the Issuer:</w:t>
            </w:r>
          </w:p>
        </w:tc>
        <w:tc>
          <w:tcPr>
            <w:tcW w:w="2482" w:type="pct"/>
            <w:gridSpan w:val="3"/>
          </w:tcPr>
          <w:p w14:paraId="702B14D1" w14:textId="77777777" w:rsidR="00BD04DD" w:rsidRDefault="008F0036" w:rsidP="002E1316">
            <w:pPr>
              <w:pStyle w:val="TableParagraph"/>
              <w:ind w:left="0"/>
              <w:rPr>
                <w:b/>
                <w:sz w:val="23"/>
              </w:rPr>
            </w:pPr>
            <w:r>
              <w:rPr>
                <w:b/>
                <w:sz w:val="23"/>
                <w:lang w:val="en-US"/>
              </w:rPr>
              <w:t>1076164009096</w:t>
            </w:r>
          </w:p>
        </w:tc>
      </w:tr>
      <w:tr w:rsidR="00BB04D2" w14:paraId="693C628C" w14:textId="77777777" w:rsidTr="002E1316">
        <w:trPr>
          <w:trHeight w:val="20"/>
        </w:trPr>
        <w:tc>
          <w:tcPr>
            <w:tcW w:w="2518" w:type="pct"/>
            <w:gridSpan w:val="4"/>
          </w:tcPr>
          <w:p w14:paraId="56BDE676" w14:textId="77777777" w:rsidR="00BD04DD" w:rsidRDefault="008F0036" w:rsidP="002E1316">
            <w:pPr>
              <w:pStyle w:val="TableParagraph"/>
              <w:ind w:left="0"/>
              <w:rPr>
                <w:sz w:val="23"/>
              </w:rPr>
            </w:pPr>
            <w:r>
              <w:rPr>
                <w:sz w:val="23"/>
                <w:lang w:val="en-US"/>
              </w:rPr>
              <w:t xml:space="preserve">1.5. TIN of the </w:t>
            </w:r>
            <w:r>
              <w:rPr>
                <w:sz w:val="23"/>
                <w:lang w:val="en-US"/>
              </w:rPr>
              <w:t>Issuer:</w:t>
            </w:r>
          </w:p>
        </w:tc>
        <w:tc>
          <w:tcPr>
            <w:tcW w:w="2482" w:type="pct"/>
            <w:gridSpan w:val="3"/>
          </w:tcPr>
          <w:p w14:paraId="4E3F30B5" w14:textId="77777777" w:rsidR="00BD04DD" w:rsidRDefault="008F0036" w:rsidP="002E1316">
            <w:pPr>
              <w:pStyle w:val="TableParagraph"/>
              <w:ind w:left="0"/>
              <w:rPr>
                <w:b/>
                <w:sz w:val="23"/>
              </w:rPr>
            </w:pPr>
            <w:r>
              <w:rPr>
                <w:b/>
                <w:sz w:val="23"/>
                <w:lang w:val="en-US"/>
              </w:rPr>
              <w:t>6164266561</w:t>
            </w:r>
          </w:p>
        </w:tc>
      </w:tr>
      <w:tr w:rsidR="00BB04D2" w14:paraId="091C9883" w14:textId="77777777" w:rsidTr="002E1316">
        <w:trPr>
          <w:trHeight w:val="20"/>
        </w:trPr>
        <w:tc>
          <w:tcPr>
            <w:tcW w:w="2518" w:type="pct"/>
            <w:gridSpan w:val="4"/>
          </w:tcPr>
          <w:p w14:paraId="4C9D8A0C" w14:textId="77777777" w:rsidR="00BD04DD" w:rsidRPr="008F0036" w:rsidRDefault="008F0036" w:rsidP="002E1316">
            <w:pPr>
              <w:pStyle w:val="TableParagraph"/>
              <w:ind w:left="0"/>
              <w:rPr>
                <w:sz w:val="23"/>
                <w:lang w:val="en-US"/>
              </w:rPr>
            </w:pPr>
            <w:r>
              <w:rPr>
                <w:sz w:val="23"/>
                <w:lang w:val="en-US"/>
              </w:rPr>
              <w:t>1.6. Unique code of the Issuer, assigned by the registering authority:</w:t>
            </w:r>
          </w:p>
        </w:tc>
        <w:tc>
          <w:tcPr>
            <w:tcW w:w="2482" w:type="pct"/>
            <w:gridSpan w:val="3"/>
            <w:vAlign w:val="center"/>
          </w:tcPr>
          <w:p w14:paraId="52C5CB7F" w14:textId="77777777" w:rsidR="00BD04DD" w:rsidRDefault="008F0036" w:rsidP="002E1316">
            <w:pPr>
              <w:pStyle w:val="TableParagraph"/>
              <w:ind w:left="0"/>
              <w:rPr>
                <w:b/>
                <w:sz w:val="23"/>
              </w:rPr>
            </w:pPr>
            <w:r>
              <w:rPr>
                <w:b/>
                <w:sz w:val="23"/>
                <w:lang w:val="en-US"/>
              </w:rPr>
              <w:t>34956-Е</w:t>
            </w:r>
          </w:p>
        </w:tc>
      </w:tr>
      <w:tr w:rsidR="00BB04D2" w14:paraId="34B9402E" w14:textId="77777777" w:rsidTr="002E1316">
        <w:trPr>
          <w:trHeight w:val="20"/>
        </w:trPr>
        <w:tc>
          <w:tcPr>
            <w:tcW w:w="2518" w:type="pct"/>
            <w:gridSpan w:val="4"/>
          </w:tcPr>
          <w:p w14:paraId="2913971C" w14:textId="77777777" w:rsidR="00BD04DD" w:rsidRPr="008F0036" w:rsidRDefault="008F0036" w:rsidP="002E1316">
            <w:pPr>
              <w:pStyle w:val="TableParagraph"/>
              <w:ind w:left="0"/>
              <w:rPr>
                <w:sz w:val="23"/>
                <w:lang w:val="en-US"/>
              </w:rPr>
            </w:pPr>
            <w:r>
              <w:rPr>
                <w:sz w:val="23"/>
                <w:lang w:val="en-US"/>
              </w:rPr>
              <w:t>1.7. The address of the Internet page used by the Issuer for information disclosures</w:t>
            </w:r>
          </w:p>
        </w:tc>
        <w:tc>
          <w:tcPr>
            <w:tcW w:w="2482" w:type="pct"/>
            <w:gridSpan w:val="3"/>
            <w:vAlign w:val="center"/>
          </w:tcPr>
          <w:p w14:paraId="6F98C584" w14:textId="77777777" w:rsidR="002E1316" w:rsidRDefault="008F0036" w:rsidP="002E1316">
            <w:pPr>
              <w:pStyle w:val="TableParagraph"/>
              <w:ind w:left="0"/>
              <w:rPr>
                <w:b/>
                <w:sz w:val="23"/>
              </w:rPr>
            </w:pPr>
            <w:hyperlink r:id="rId5" w:history="1">
              <w:r>
                <w:rPr>
                  <w:b/>
                  <w:sz w:val="23"/>
                  <w:lang w:val="en-US"/>
                </w:rPr>
                <w:t>http</w:t>
              </w:r>
              <w:r w:rsidRPr="008F0036">
                <w:rPr>
                  <w:b/>
                  <w:sz w:val="23"/>
                </w:rPr>
                <w:t>://</w:t>
              </w:r>
              <w:r>
                <w:rPr>
                  <w:b/>
                  <w:sz w:val="23"/>
                  <w:lang w:val="en-US"/>
                </w:rPr>
                <w:t>www</w:t>
              </w:r>
              <w:r w:rsidRPr="008F0036">
                <w:rPr>
                  <w:b/>
                  <w:sz w:val="23"/>
                </w:rPr>
                <w:t>.</w:t>
              </w:r>
              <w:r>
                <w:rPr>
                  <w:b/>
                  <w:sz w:val="23"/>
                  <w:lang w:val="en-US"/>
                </w:rPr>
                <w:t>mrsk</w:t>
              </w:r>
              <w:r w:rsidRPr="008F0036">
                <w:rPr>
                  <w:b/>
                  <w:sz w:val="23"/>
                </w:rPr>
                <w:t>-</w:t>
              </w:r>
              <w:r>
                <w:rPr>
                  <w:b/>
                  <w:sz w:val="23"/>
                  <w:lang w:val="en-US"/>
                </w:rPr>
                <w:t>yuga</w:t>
              </w:r>
              <w:r w:rsidRPr="008F0036">
                <w:rPr>
                  <w:b/>
                  <w:sz w:val="23"/>
                </w:rPr>
                <w:t>.</w:t>
              </w:r>
              <w:r>
                <w:rPr>
                  <w:b/>
                  <w:sz w:val="23"/>
                  <w:lang w:val="en-US"/>
                </w:rPr>
                <w:t>ru</w:t>
              </w:r>
            </w:hyperlink>
            <w:r w:rsidRPr="008F0036">
              <w:rPr>
                <w:b/>
                <w:sz w:val="23"/>
              </w:rPr>
              <w:t xml:space="preserve"> </w:t>
            </w:r>
          </w:p>
          <w:p w14:paraId="52DE4992" w14:textId="77777777" w:rsidR="00BD04DD" w:rsidRPr="002E1316" w:rsidRDefault="008F0036" w:rsidP="002E1316">
            <w:pPr>
              <w:pStyle w:val="TableParagraph"/>
              <w:ind w:left="0"/>
              <w:rPr>
                <w:b/>
                <w:sz w:val="23"/>
              </w:rPr>
            </w:pPr>
            <w:r>
              <w:rPr>
                <w:b/>
                <w:sz w:val="23"/>
                <w:lang w:val="en-US"/>
              </w:rPr>
              <w:t>http</w:t>
            </w:r>
            <w:r w:rsidRPr="008F0036">
              <w:rPr>
                <w:b/>
                <w:sz w:val="23"/>
              </w:rPr>
              <w:t>://</w:t>
            </w:r>
            <w:r>
              <w:rPr>
                <w:b/>
                <w:sz w:val="23"/>
                <w:lang w:val="en-US"/>
              </w:rPr>
              <w:t>www</w:t>
            </w:r>
            <w:r w:rsidRPr="008F0036">
              <w:rPr>
                <w:b/>
                <w:sz w:val="23"/>
              </w:rPr>
              <w:t>.</w:t>
            </w:r>
            <w:r>
              <w:rPr>
                <w:b/>
                <w:sz w:val="23"/>
                <w:lang w:val="en-US"/>
              </w:rPr>
              <w:t>e</w:t>
            </w:r>
            <w:r w:rsidRPr="008F0036">
              <w:rPr>
                <w:b/>
                <w:sz w:val="23"/>
              </w:rPr>
              <w:t>-</w:t>
            </w:r>
            <w:r>
              <w:rPr>
                <w:b/>
                <w:sz w:val="23"/>
                <w:lang w:val="en-US"/>
              </w:rPr>
              <w:t>disclosure</w:t>
            </w:r>
            <w:r w:rsidRPr="008F0036">
              <w:rPr>
                <w:b/>
                <w:sz w:val="23"/>
              </w:rPr>
              <w:t>.</w:t>
            </w:r>
            <w:r>
              <w:rPr>
                <w:b/>
                <w:sz w:val="23"/>
                <w:lang w:val="en-US"/>
              </w:rPr>
              <w:t>ru</w:t>
            </w:r>
            <w:r w:rsidRPr="008F0036">
              <w:rPr>
                <w:b/>
                <w:sz w:val="23"/>
              </w:rPr>
              <w:t>/</w:t>
            </w:r>
            <w:r>
              <w:rPr>
                <w:b/>
                <w:sz w:val="23"/>
                <w:lang w:val="en-US"/>
              </w:rPr>
              <w:t>portal</w:t>
            </w:r>
            <w:r w:rsidRPr="008F0036">
              <w:rPr>
                <w:b/>
                <w:sz w:val="23"/>
              </w:rPr>
              <w:t>/</w:t>
            </w:r>
            <w:r>
              <w:rPr>
                <w:b/>
                <w:sz w:val="23"/>
                <w:lang w:val="en-US"/>
              </w:rPr>
              <w:t>company</w:t>
            </w:r>
            <w:r w:rsidRPr="008F0036">
              <w:rPr>
                <w:b/>
                <w:sz w:val="23"/>
              </w:rPr>
              <w:t>.</w:t>
            </w:r>
            <w:r>
              <w:rPr>
                <w:b/>
                <w:sz w:val="23"/>
                <w:lang w:val="en-US"/>
              </w:rPr>
              <w:t>aspx</w:t>
            </w:r>
            <w:r w:rsidRPr="008F0036">
              <w:rPr>
                <w:b/>
                <w:sz w:val="23"/>
              </w:rPr>
              <w:t>?</w:t>
            </w:r>
            <w:r>
              <w:rPr>
                <w:b/>
                <w:sz w:val="23"/>
                <w:lang w:val="en-US"/>
              </w:rPr>
              <w:t>id</w:t>
            </w:r>
            <w:r w:rsidRPr="008F0036">
              <w:rPr>
                <w:b/>
                <w:sz w:val="23"/>
              </w:rPr>
              <w:t>=11999</w:t>
            </w:r>
          </w:p>
        </w:tc>
      </w:tr>
      <w:tr w:rsidR="00BB04D2" w14:paraId="575783CE" w14:textId="77777777" w:rsidTr="002E1316">
        <w:trPr>
          <w:trHeight w:val="20"/>
        </w:trPr>
        <w:tc>
          <w:tcPr>
            <w:tcW w:w="2518" w:type="pct"/>
            <w:gridSpan w:val="4"/>
          </w:tcPr>
          <w:p w14:paraId="41DFEBE5" w14:textId="77777777" w:rsidR="00BD04DD" w:rsidRPr="008F0036" w:rsidRDefault="008F0036" w:rsidP="002E1316">
            <w:pPr>
              <w:pStyle w:val="TableParagraph"/>
              <w:tabs>
                <w:tab w:val="left" w:pos="995"/>
                <w:tab w:val="left" w:pos="2000"/>
                <w:tab w:val="left" w:pos="2144"/>
                <w:tab w:val="left" w:pos="3283"/>
                <w:tab w:val="left" w:pos="3813"/>
              </w:tabs>
              <w:ind w:left="0"/>
              <w:rPr>
                <w:sz w:val="24"/>
                <w:lang w:val="en-US"/>
              </w:rPr>
            </w:pPr>
            <w:r>
              <w:rPr>
                <w:sz w:val="24"/>
                <w:lang w:val="en-US"/>
              </w:rPr>
              <w:t>1.8. Event effective date (material fact) of which the message is composed (if applicable):</w:t>
            </w:r>
          </w:p>
        </w:tc>
        <w:tc>
          <w:tcPr>
            <w:tcW w:w="2482" w:type="pct"/>
            <w:gridSpan w:val="3"/>
            <w:vAlign w:val="center"/>
          </w:tcPr>
          <w:p w14:paraId="46697919" w14:textId="77777777" w:rsidR="00BD04DD" w:rsidRDefault="008F0036" w:rsidP="002E1316">
            <w:pPr>
              <w:pStyle w:val="TableParagraph"/>
              <w:ind w:left="0"/>
              <w:rPr>
                <w:b/>
                <w:sz w:val="24"/>
              </w:rPr>
            </w:pPr>
            <w:r>
              <w:rPr>
                <w:b/>
                <w:sz w:val="24"/>
                <w:lang w:val="en-US"/>
              </w:rPr>
              <w:t>June 21, 2019</w:t>
            </w:r>
          </w:p>
        </w:tc>
      </w:tr>
      <w:tr w:rsidR="00BB04D2" w14:paraId="654C5FEE" w14:textId="77777777" w:rsidTr="002E1316">
        <w:trPr>
          <w:trHeight w:val="20"/>
        </w:trPr>
        <w:tc>
          <w:tcPr>
            <w:tcW w:w="5000" w:type="pct"/>
            <w:gridSpan w:val="7"/>
          </w:tcPr>
          <w:p w14:paraId="536859DD" w14:textId="77777777" w:rsidR="00BD04DD" w:rsidRDefault="008F0036" w:rsidP="00957FFC">
            <w:pPr>
              <w:pStyle w:val="TableParagraph"/>
              <w:ind w:left="0"/>
              <w:jc w:val="center"/>
              <w:rPr>
                <w:sz w:val="23"/>
              </w:rPr>
            </w:pPr>
            <w:r>
              <w:rPr>
                <w:sz w:val="23"/>
                <w:lang w:val="en-US"/>
              </w:rPr>
              <w:t>2. Notice content:</w:t>
            </w:r>
          </w:p>
        </w:tc>
      </w:tr>
      <w:tr w:rsidR="00BB04D2" w:rsidRPr="008F0036" w14:paraId="7AF2CD2F" w14:textId="77777777" w:rsidTr="002E1316">
        <w:trPr>
          <w:trHeight w:val="20"/>
        </w:trPr>
        <w:tc>
          <w:tcPr>
            <w:tcW w:w="5000" w:type="pct"/>
            <w:gridSpan w:val="7"/>
          </w:tcPr>
          <w:p w14:paraId="3E0915D6" w14:textId="77777777" w:rsidR="00BD04DD" w:rsidRPr="008F0036" w:rsidRDefault="008F0036" w:rsidP="002E1316">
            <w:pPr>
              <w:pStyle w:val="TableParagraph"/>
              <w:numPr>
                <w:ilvl w:val="1"/>
                <w:numId w:val="3"/>
              </w:numPr>
              <w:tabs>
                <w:tab w:val="left" w:pos="435"/>
              </w:tabs>
              <w:ind w:left="0" w:firstLine="0"/>
              <w:jc w:val="both"/>
              <w:rPr>
                <w:b/>
                <w:i/>
                <w:sz w:val="23"/>
                <w:szCs w:val="23"/>
                <w:lang w:val="en-US"/>
              </w:rPr>
            </w:pPr>
            <w:r w:rsidRPr="0048029A">
              <w:rPr>
                <w:sz w:val="23"/>
                <w:szCs w:val="23"/>
                <w:lang w:val="en-US"/>
              </w:rPr>
              <w:t xml:space="preserve">Full corporate name, location, TIN (if applicable), OGRN (if applicable) of the entity in respect of which the issuer became a controlling entity: </w:t>
            </w:r>
            <w:r w:rsidRPr="0048029A">
              <w:rPr>
                <w:b/>
                <w:i/>
                <w:sz w:val="23"/>
                <w:szCs w:val="23"/>
                <w:lang w:val="en-US"/>
              </w:rPr>
              <w:t xml:space="preserve">Public Joint Stock Company "Volgograd Interregional Electric Networks", Russian Federation, </w:t>
            </w:r>
            <w:r w:rsidRPr="0048029A">
              <w:rPr>
                <w:b/>
                <w:i/>
                <w:sz w:val="23"/>
                <w:szCs w:val="23"/>
                <w:lang w:val="en-US"/>
              </w:rPr>
              <w:t>Volgograd, INN 3459076049, OGRN 1183443005778.</w:t>
            </w:r>
          </w:p>
          <w:p w14:paraId="7D978D8D" w14:textId="77777777" w:rsidR="00BD04DD" w:rsidRPr="008F0036" w:rsidRDefault="008F0036" w:rsidP="002E1316">
            <w:pPr>
              <w:pStyle w:val="TableParagraph"/>
              <w:ind w:left="0"/>
              <w:rPr>
                <w:b/>
                <w:sz w:val="23"/>
                <w:szCs w:val="23"/>
                <w:lang w:val="en-US"/>
              </w:rPr>
            </w:pPr>
          </w:p>
          <w:p w14:paraId="3A1E601F" w14:textId="77777777" w:rsidR="00BD04DD" w:rsidRPr="008F0036" w:rsidRDefault="008F0036" w:rsidP="002E1316">
            <w:pPr>
              <w:pStyle w:val="TableParagraph"/>
              <w:numPr>
                <w:ilvl w:val="1"/>
                <w:numId w:val="3"/>
              </w:numPr>
              <w:tabs>
                <w:tab w:val="left" w:pos="466"/>
              </w:tabs>
              <w:ind w:left="0" w:firstLine="0"/>
              <w:jc w:val="both"/>
              <w:rPr>
                <w:b/>
                <w:i/>
                <w:sz w:val="23"/>
                <w:szCs w:val="23"/>
                <w:lang w:val="en-US"/>
              </w:rPr>
            </w:pPr>
            <w:r w:rsidRPr="0048029A">
              <w:rPr>
                <w:sz w:val="23"/>
                <w:szCs w:val="23"/>
                <w:lang w:val="en-US"/>
              </w:rPr>
              <w:t xml:space="preserve">Type of control under which the entity in respect of which the issuer has become a controlling entity (direct control, indirect control): </w:t>
            </w:r>
            <w:r w:rsidRPr="0048029A">
              <w:rPr>
                <w:b/>
                <w:i/>
                <w:sz w:val="23"/>
                <w:szCs w:val="23"/>
                <w:lang w:val="en-US"/>
              </w:rPr>
              <w:t>direct control.</w:t>
            </w:r>
          </w:p>
          <w:p w14:paraId="3A5A4F84" w14:textId="77777777" w:rsidR="00BD04DD" w:rsidRPr="008F0036" w:rsidRDefault="008F0036" w:rsidP="002E1316">
            <w:pPr>
              <w:pStyle w:val="TableParagraph"/>
              <w:ind w:left="0"/>
              <w:rPr>
                <w:b/>
                <w:sz w:val="23"/>
                <w:szCs w:val="23"/>
                <w:lang w:val="en-US"/>
              </w:rPr>
            </w:pPr>
          </w:p>
          <w:p w14:paraId="35A95505" w14:textId="77777777" w:rsidR="00BD04DD" w:rsidRPr="008F0036" w:rsidRDefault="008F0036" w:rsidP="002E1316">
            <w:pPr>
              <w:pStyle w:val="TableParagraph"/>
              <w:numPr>
                <w:ilvl w:val="1"/>
                <w:numId w:val="3"/>
              </w:numPr>
              <w:tabs>
                <w:tab w:val="left" w:pos="418"/>
              </w:tabs>
              <w:ind w:left="0" w:firstLine="0"/>
              <w:jc w:val="both"/>
              <w:rPr>
                <w:b/>
                <w:i/>
                <w:sz w:val="23"/>
                <w:szCs w:val="23"/>
                <w:lang w:val="en-US"/>
              </w:rPr>
            </w:pPr>
            <w:r w:rsidRPr="0048029A">
              <w:rPr>
                <w:sz w:val="23"/>
                <w:szCs w:val="23"/>
                <w:lang w:val="en-US"/>
              </w:rPr>
              <w:t>Grounds by virtue of which the issuer exercises contr</w:t>
            </w:r>
            <w:r w:rsidRPr="0048029A">
              <w:rPr>
                <w:sz w:val="23"/>
                <w:szCs w:val="23"/>
                <w:lang w:val="en-US"/>
              </w:rPr>
              <w:t>ol over the organization in respect of which it has become a controlling person (participation in the issuer-controlled organization, conclusion of a property trust management contract, conclusion of a simple partnership contract, conclusion of an assignme</w:t>
            </w:r>
            <w:r w:rsidRPr="0048029A">
              <w:rPr>
                <w:sz w:val="23"/>
                <w:szCs w:val="23"/>
                <w:lang w:val="en-US"/>
              </w:rPr>
              <w:t xml:space="preserve">nt contract, conclusion of a shareholder agreement, conclusion of another agreement, the subject of which is the exercise of rights certified by shares (stakes) in the issuer-controlled organization): </w:t>
            </w:r>
            <w:r w:rsidRPr="0048029A">
              <w:rPr>
                <w:b/>
                <w:i/>
                <w:sz w:val="23"/>
                <w:szCs w:val="23"/>
                <w:lang w:val="en-US"/>
              </w:rPr>
              <w:t>participation in the issuer-controlled entity.</w:t>
            </w:r>
          </w:p>
          <w:p w14:paraId="3C2F6108" w14:textId="77777777" w:rsidR="00BD04DD" w:rsidRPr="008F0036" w:rsidRDefault="008F0036" w:rsidP="002E1316">
            <w:pPr>
              <w:pStyle w:val="TableParagraph"/>
              <w:ind w:left="0"/>
              <w:rPr>
                <w:b/>
                <w:sz w:val="23"/>
                <w:szCs w:val="23"/>
                <w:lang w:val="en-US"/>
              </w:rPr>
            </w:pPr>
          </w:p>
          <w:p w14:paraId="00AA3CF0" w14:textId="77777777" w:rsidR="00BD04DD" w:rsidRPr="008F0036" w:rsidRDefault="008F0036" w:rsidP="002E1316">
            <w:pPr>
              <w:pStyle w:val="TableParagraph"/>
              <w:numPr>
                <w:ilvl w:val="1"/>
                <w:numId w:val="3"/>
              </w:numPr>
              <w:tabs>
                <w:tab w:val="left" w:pos="435"/>
              </w:tabs>
              <w:ind w:left="0" w:firstLine="0"/>
              <w:rPr>
                <w:sz w:val="23"/>
                <w:szCs w:val="23"/>
                <w:lang w:val="en-US"/>
              </w:rPr>
            </w:pPr>
            <w:r w:rsidRPr="0048029A">
              <w:rPr>
                <w:sz w:val="23"/>
                <w:szCs w:val="23"/>
                <w:lang w:val="en-US"/>
              </w:rPr>
              <w:t>Sign of the issuer's control over the organization in respect of which it has become a controlling person (the right to control more than 50% of votes in the supreme governing body of the issuer-controlled organization, the right to appoint (elect)</w:t>
            </w:r>
          </w:p>
          <w:p w14:paraId="1DF06C2D" w14:textId="77777777" w:rsidR="00BD04DD" w:rsidRPr="008F0036" w:rsidRDefault="008F0036" w:rsidP="002E1316">
            <w:pPr>
              <w:pStyle w:val="TableParagraph"/>
              <w:ind w:left="0"/>
              <w:rPr>
                <w:sz w:val="23"/>
                <w:szCs w:val="23"/>
                <w:lang w:val="en-US"/>
              </w:rPr>
            </w:pPr>
            <w:r w:rsidRPr="0048029A">
              <w:rPr>
                <w:sz w:val="23"/>
                <w:szCs w:val="23"/>
                <w:lang w:val="en-US"/>
              </w:rPr>
              <w:t>the sin</w:t>
            </w:r>
            <w:r w:rsidRPr="0048029A">
              <w:rPr>
                <w:sz w:val="23"/>
                <w:szCs w:val="23"/>
                <w:lang w:val="en-US"/>
              </w:rPr>
              <w:t>gle executive body of the issuer-controlled organization, the right to appoint (elect) more than 50 percent of the collegial management body of the issuer-controlled organization):</w:t>
            </w:r>
          </w:p>
          <w:p w14:paraId="2B72BB8A" w14:textId="77777777" w:rsidR="00BD04DD" w:rsidRPr="008F0036" w:rsidRDefault="008F0036" w:rsidP="002E1316">
            <w:pPr>
              <w:pStyle w:val="TableParagraph"/>
              <w:numPr>
                <w:ilvl w:val="0"/>
                <w:numId w:val="2"/>
              </w:numPr>
              <w:tabs>
                <w:tab w:val="left" w:pos="257"/>
              </w:tabs>
              <w:ind w:left="0" w:firstLine="0"/>
              <w:jc w:val="both"/>
              <w:rPr>
                <w:b/>
                <w:i/>
                <w:sz w:val="23"/>
                <w:szCs w:val="23"/>
                <w:lang w:val="en-US"/>
              </w:rPr>
            </w:pPr>
            <w:r w:rsidRPr="0048029A">
              <w:rPr>
                <w:b/>
                <w:i/>
                <w:sz w:val="23"/>
                <w:szCs w:val="23"/>
                <w:lang w:val="en-US"/>
              </w:rPr>
              <w:t>the right to dispose of more than 50% of the votes in the supreme governing</w:t>
            </w:r>
            <w:r w:rsidRPr="0048029A">
              <w:rPr>
                <w:b/>
                <w:i/>
                <w:sz w:val="23"/>
                <w:szCs w:val="23"/>
                <w:lang w:val="en-US"/>
              </w:rPr>
              <w:t xml:space="preserve"> body of the issuer-controlled organization;</w:t>
            </w:r>
          </w:p>
          <w:p w14:paraId="6B915D28" w14:textId="77777777" w:rsidR="00BD04DD" w:rsidRPr="008F0036" w:rsidRDefault="008F0036" w:rsidP="002E1316">
            <w:pPr>
              <w:pStyle w:val="TableParagraph"/>
              <w:numPr>
                <w:ilvl w:val="0"/>
                <w:numId w:val="2"/>
              </w:numPr>
              <w:tabs>
                <w:tab w:val="left" w:pos="262"/>
              </w:tabs>
              <w:ind w:left="0" w:firstLine="0"/>
              <w:jc w:val="both"/>
              <w:rPr>
                <w:b/>
                <w:i/>
                <w:sz w:val="23"/>
                <w:szCs w:val="23"/>
                <w:lang w:val="en-US"/>
              </w:rPr>
            </w:pPr>
            <w:r w:rsidRPr="0048029A">
              <w:rPr>
                <w:b/>
                <w:i/>
                <w:sz w:val="23"/>
                <w:szCs w:val="23"/>
                <w:lang w:val="en-US"/>
              </w:rPr>
              <w:t>the right to appoint (elect) the single executive body of the issuer-controlled organization;</w:t>
            </w:r>
          </w:p>
          <w:p w14:paraId="42AFBCAF" w14:textId="77777777" w:rsidR="00BD04DD" w:rsidRPr="008F0036" w:rsidRDefault="008F0036" w:rsidP="002E1316">
            <w:pPr>
              <w:pStyle w:val="TableParagraph"/>
              <w:numPr>
                <w:ilvl w:val="0"/>
                <w:numId w:val="2"/>
              </w:numPr>
              <w:tabs>
                <w:tab w:val="left" w:pos="276"/>
              </w:tabs>
              <w:ind w:left="0" w:firstLine="0"/>
              <w:jc w:val="both"/>
              <w:rPr>
                <w:b/>
                <w:i/>
                <w:sz w:val="23"/>
                <w:szCs w:val="23"/>
                <w:lang w:val="en-US"/>
              </w:rPr>
            </w:pPr>
            <w:r w:rsidRPr="0048029A">
              <w:rPr>
                <w:b/>
                <w:i/>
                <w:sz w:val="23"/>
                <w:szCs w:val="23"/>
                <w:lang w:val="en-US"/>
              </w:rPr>
              <w:t>the right to appoint (elect) more than 50 percent of the collegial management body of the issuer-controlled organizat</w:t>
            </w:r>
            <w:r w:rsidRPr="0048029A">
              <w:rPr>
                <w:b/>
                <w:i/>
                <w:sz w:val="23"/>
                <w:szCs w:val="23"/>
                <w:lang w:val="en-US"/>
              </w:rPr>
              <w:t>ion).</w:t>
            </w:r>
          </w:p>
          <w:p w14:paraId="6AE64C14" w14:textId="77777777" w:rsidR="00BD04DD" w:rsidRPr="008F0036" w:rsidRDefault="008F0036" w:rsidP="002E1316">
            <w:pPr>
              <w:pStyle w:val="TableParagraph"/>
              <w:ind w:left="0"/>
              <w:rPr>
                <w:b/>
                <w:sz w:val="23"/>
                <w:szCs w:val="23"/>
                <w:lang w:val="en-US"/>
              </w:rPr>
            </w:pPr>
          </w:p>
          <w:p w14:paraId="2001988C" w14:textId="77777777" w:rsidR="00BD04DD" w:rsidRPr="008F0036" w:rsidRDefault="008F0036" w:rsidP="002E1316">
            <w:pPr>
              <w:pStyle w:val="TableParagraph"/>
              <w:ind w:left="0"/>
              <w:jc w:val="both"/>
              <w:rPr>
                <w:sz w:val="23"/>
                <w:szCs w:val="23"/>
                <w:lang w:val="en-US"/>
              </w:rPr>
            </w:pPr>
            <w:r w:rsidRPr="0048029A">
              <w:rPr>
                <w:sz w:val="23"/>
                <w:szCs w:val="23"/>
                <w:lang w:val="en-US"/>
              </w:rPr>
              <w:t>2.5. Issuer's interest in the authorized capital of the organization in respect of which it became a controlling person, and if such organization is a joint stock company - also the share of ordinary shares of such organization owned by the issuer:</w:t>
            </w:r>
          </w:p>
          <w:p w14:paraId="7846014E" w14:textId="77777777" w:rsidR="00BD04DD" w:rsidRPr="008F0036" w:rsidRDefault="008F0036" w:rsidP="002E1316">
            <w:pPr>
              <w:pStyle w:val="TableParagraph"/>
              <w:ind w:left="0"/>
              <w:jc w:val="both"/>
              <w:rPr>
                <w:b/>
                <w:i/>
                <w:sz w:val="23"/>
                <w:szCs w:val="23"/>
                <w:lang w:val="en-US"/>
              </w:rPr>
            </w:pPr>
            <w:r w:rsidRPr="0048029A">
              <w:rPr>
                <w:b/>
                <w:i/>
                <w:sz w:val="23"/>
                <w:szCs w:val="23"/>
                <w:lang w:val="en-US"/>
              </w:rPr>
              <w:t>The Issuer's share in the authorized capital of the organization is 100%;</w:t>
            </w:r>
          </w:p>
          <w:p w14:paraId="30AD145C" w14:textId="77777777" w:rsidR="00BD04DD" w:rsidRPr="008F0036" w:rsidRDefault="008F0036" w:rsidP="002E1316">
            <w:pPr>
              <w:pStyle w:val="TableParagraph"/>
              <w:ind w:left="0"/>
              <w:jc w:val="both"/>
              <w:rPr>
                <w:b/>
                <w:i/>
                <w:sz w:val="23"/>
                <w:szCs w:val="23"/>
                <w:lang w:val="en-US"/>
              </w:rPr>
            </w:pPr>
            <w:r w:rsidRPr="0048029A">
              <w:rPr>
                <w:b/>
                <w:i/>
                <w:sz w:val="23"/>
                <w:szCs w:val="23"/>
                <w:lang w:val="en-US"/>
              </w:rPr>
              <w:t>The share of ordinary shares owned by the issuer of such an organization: 100%.</w:t>
            </w:r>
          </w:p>
        </w:tc>
      </w:tr>
      <w:tr w:rsidR="00BB04D2" w:rsidRPr="008F0036" w14:paraId="677720C4" w14:textId="77777777" w:rsidTr="0046112E">
        <w:trPr>
          <w:trHeight w:val="20"/>
        </w:trPr>
        <w:tc>
          <w:tcPr>
            <w:tcW w:w="5000" w:type="pct"/>
            <w:gridSpan w:val="7"/>
            <w:tcBorders>
              <w:bottom w:val="single" w:sz="4" w:space="0" w:color="000000"/>
            </w:tcBorders>
          </w:tcPr>
          <w:p w14:paraId="4FB67404" w14:textId="77777777" w:rsidR="00BD04DD" w:rsidRPr="008F0036" w:rsidRDefault="008F0036" w:rsidP="002E1316">
            <w:pPr>
              <w:pStyle w:val="TableParagraph"/>
              <w:numPr>
                <w:ilvl w:val="1"/>
                <w:numId w:val="1"/>
              </w:numPr>
              <w:tabs>
                <w:tab w:val="left" w:pos="432"/>
              </w:tabs>
              <w:ind w:left="0" w:firstLine="0"/>
              <w:jc w:val="both"/>
              <w:rPr>
                <w:b/>
                <w:sz w:val="23"/>
                <w:szCs w:val="23"/>
                <w:lang w:val="en-US"/>
              </w:rPr>
            </w:pPr>
            <w:r w:rsidRPr="0048029A">
              <w:rPr>
                <w:sz w:val="23"/>
                <w:szCs w:val="23"/>
                <w:lang w:val="en-US"/>
              </w:rPr>
              <w:t>In the event of indirect control, all entities controlled by the issuer (a chain of entities under direct or indirect control of the issuer) through which the issuer exercises indirect control over the entity in respect of which it has become a controlling</w:t>
            </w:r>
            <w:r w:rsidRPr="0048029A">
              <w:rPr>
                <w:sz w:val="23"/>
                <w:szCs w:val="23"/>
                <w:lang w:val="en-US"/>
              </w:rPr>
              <w:t xml:space="preserve"> entity are successively. The full corporate name, location, TIN (if </w:t>
            </w:r>
            <w:r w:rsidRPr="0048029A">
              <w:rPr>
                <w:sz w:val="23"/>
                <w:szCs w:val="23"/>
                <w:lang w:val="en-US"/>
              </w:rPr>
              <w:lastRenderedPageBreak/>
              <w:t xml:space="preserve">applicable), OGRN (if applicable) shall be indicated for each such organization: </w:t>
            </w:r>
            <w:r w:rsidRPr="0048029A">
              <w:rPr>
                <w:b/>
                <w:sz w:val="23"/>
                <w:szCs w:val="23"/>
                <w:lang w:val="en-US"/>
              </w:rPr>
              <w:t>none.</w:t>
            </w:r>
          </w:p>
          <w:p w14:paraId="258DA5AE" w14:textId="77777777" w:rsidR="00BD04DD" w:rsidRPr="008F0036" w:rsidRDefault="008F0036" w:rsidP="002E1316">
            <w:pPr>
              <w:pStyle w:val="TableParagraph"/>
              <w:ind w:left="0"/>
              <w:rPr>
                <w:b/>
                <w:sz w:val="23"/>
                <w:szCs w:val="23"/>
                <w:lang w:val="en-US"/>
              </w:rPr>
            </w:pPr>
          </w:p>
          <w:p w14:paraId="4619D116" w14:textId="77777777" w:rsidR="00BD04DD" w:rsidRPr="008F0036" w:rsidRDefault="008F0036" w:rsidP="002E1316">
            <w:pPr>
              <w:pStyle w:val="TableParagraph"/>
              <w:numPr>
                <w:ilvl w:val="1"/>
                <w:numId w:val="1"/>
              </w:numPr>
              <w:tabs>
                <w:tab w:val="left" w:pos="521"/>
              </w:tabs>
              <w:ind w:left="0" w:firstLine="0"/>
              <w:jc w:val="both"/>
              <w:rPr>
                <w:b/>
                <w:i/>
                <w:sz w:val="23"/>
                <w:szCs w:val="23"/>
                <w:lang w:val="en-US"/>
              </w:rPr>
            </w:pPr>
            <w:r w:rsidRPr="0048029A">
              <w:rPr>
                <w:sz w:val="23"/>
                <w:szCs w:val="23"/>
                <w:lang w:val="en-US"/>
              </w:rPr>
              <w:t>Date of occurrence of the grounds on which the issuer exercises control over the organization in re</w:t>
            </w:r>
            <w:r w:rsidRPr="0048029A">
              <w:rPr>
                <w:sz w:val="23"/>
                <w:szCs w:val="23"/>
                <w:lang w:val="en-US"/>
              </w:rPr>
              <w:t xml:space="preserve">spect of which it has become a controlling person: </w:t>
            </w:r>
            <w:r w:rsidRPr="0048029A">
              <w:rPr>
                <w:b/>
                <w:i/>
                <w:sz w:val="23"/>
                <w:szCs w:val="23"/>
                <w:lang w:val="en-US"/>
              </w:rPr>
              <w:t>June 21, 2019.</w:t>
            </w:r>
          </w:p>
        </w:tc>
      </w:tr>
      <w:tr w:rsidR="00BB04D2" w14:paraId="504D86C6" w14:textId="77777777" w:rsidTr="00461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6030EEFF" w14:textId="77777777" w:rsidR="002E1316" w:rsidRDefault="008F0036" w:rsidP="00327AEE">
            <w:pPr>
              <w:pStyle w:val="TableParagraph"/>
              <w:ind w:left="0"/>
              <w:jc w:val="center"/>
              <w:rPr>
                <w:sz w:val="24"/>
              </w:rPr>
            </w:pPr>
            <w:r>
              <w:rPr>
                <w:sz w:val="24"/>
                <w:lang w:val="en-US"/>
              </w:rPr>
              <w:lastRenderedPageBreak/>
              <w:t>3. Signature</w:t>
            </w:r>
          </w:p>
        </w:tc>
      </w:tr>
      <w:tr w:rsidR="00BB04D2" w14:paraId="777D8BC6" w14:textId="77777777" w:rsidTr="00461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4938477A" w14:textId="77777777" w:rsidR="002E1316" w:rsidRPr="008F0036" w:rsidRDefault="008F0036" w:rsidP="00327AEE">
            <w:pPr>
              <w:pStyle w:val="TableParagraph"/>
              <w:ind w:left="0"/>
              <w:rPr>
                <w:lang w:val="en-US"/>
              </w:rPr>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0F1ADC3B" w14:textId="77777777" w:rsidR="002E1316" w:rsidRPr="008F0036" w:rsidRDefault="008F0036" w:rsidP="00327AEE">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147F6CCC" w14:textId="77777777" w:rsidR="002E1316" w:rsidRDefault="008F0036" w:rsidP="00327AEE">
            <w:pPr>
              <w:pStyle w:val="TableParagraph"/>
              <w:tabs>
                <w:tab w:val="left" w:pos="5729"/>
                <w:tab w:val="left" w:pos="5854"/>
                <w:tab w:val="left" w:pos="7224"/>
                <w:tab w:val="left" w:pos="7774"/>
              </w:tabs>
              <w:ind w:left="0"/>
            </w:pPr>
            <w:r>
              <w:rPr>
                <w:sz w:val="24"/>
                <w:lang w:val="en-US"/>
              </w:rPr>
              <w:t>Pavlova E.N.</w:t>
            </w:r>
          </w:p>
        </w:tc>
      </w:tr>
      <w:tr w:rsidR="00BB04D2" w14:paraId="1CADB221"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26681794" w14:textId="77777777" w:rsidR="002E1316" w:rsidRDefault="008F0036" w:rsidP="00327AEE">
            <w:pPr>
              <w:pStyle w:val="TableParagraph"/>
              <w:tabs>
                <w:tab w:val="left" w:pos="5729"/>
                <w:tab w:val="left" w:pos="5854"/>
                <w:tab w:val="left" w:pos="7224"/>
                <w:tab w:val="left" w:pos="7774"/>
              </w:tabs>
              <w:ind w:left="0"/>
              <w:rPr>
                <w:sz w:val="24"/>
              </w:rPr>
            </w:pPr>
          </w:p>
        </w:tc>
        <w:tc>
          <w:tcPr>
            <w:tcW w:w="733" w:type="pct"/>
          </w:tcPr>
          <w:p w14:paraId="025D4AEE" w14:textId="05C5E2DE" w:rsidR="002E1316" w:rsidRDefault="008F0036"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50104ED9" w14:textId="77777777" w:rsidR="002E1316" w:rsidRDefault="008F0036" w:rsidP="00327AEE">
            <w:pPr>
              <w:pStyle w:val="TableParagraph"/>
              <w:tabs>
                <w:tab w:val="left" w:pos="5729"/>
                <w:tab w:val="left" w:pos="5854"/>
                <w:tab w:val="left" w:pos="7224"/>
                <w:tab w:val="left" w:pos="7774"/>
              </w:tabs>
              <w:ind w:left="0"/>
            </w:pPr>
          </w:p>
        </w:tc>
      </w:tr>
      <w:tr w:rsidR="00BB04D2" w14:paraId="490FEBB4"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4E97578E" w14:textId="77777777" w:rsidR="002E1316" w:rsidRDefault="008F0036" w:rsidP="00327AEE">
            <w:pPr>
              <w:pStyle w:val="TableParagraph"/>
              <w:ind w:left="0"/>
              <w:rPr>
                <w:sz w:val="24"/>
              </w:rPr>
            </w:pPr>
            <w:r>
              <w:rPr>
                <w:sz w:val="24"/>
                <w:lang w:val="en-US"/>
              </w:rPr>
              <w:t>3.2. Date</w:t>
            </w:r>
          </w:p>
        </w:tc>
        <w:tc>
          <w:tcPr>
            <w:tcW w:w="467" w:type="pct"/>
            <w:tcBorders>
              <w:bottom w:val="single" w:sz="4" w:space="0" w:color="000000"/>
            </w:tcBorders>
          </w:tcPr>
          <w:p w14:paraId="1F06CBF0" w14:textId="77777777" w:rsidR="002E1316" w:rsidRPr="00F33787" w:rsidRDefault="008F0036" w:rsidP="002E1316">
            <w:pPr>
              <w:pStyle w:val="TableParagraph"/>
              <w:ind w:left="0"/>
              <w:rPr>
                <w:sz w:val="24"/>
              </w:rPr>
            </w:pPr>
            <w:r w:rsidRPr="00F33787">
              <w:rPr>
                <w:sz w:val="24"/>
                <w:lang w:val="en-US"/>
              </w:rPr>
              <w:t>June</w:t>
            </w:r>
          </w:p>
        </w:tc>
        <w:tc>
          <w:tcPr>
            <w:tcW w:w="668" w:type="pct"/>
            <w:tcBorders>
              <w:bottom w:val="single" w:sz="4" w:space="0" w:color="000000"/>
            </w:tcBorders>
          </w:tcPr>
          <w:p w14:paraId="62CA787F" w14:textId="77777777" w:rsidR="002E1316" w:rsidRPr="00F33787" w:rsidRDefault="008F0036" w:rsidP="00327AEE">
            <w:pPr>
              <w:pStyle w:val="TableParagraph"/>
              <w:ind w:left="0"/>
              <w:rPr>
                <w:sz w:val="24"/>
              </w:rPr>
            </w:pPr>
            <w:r w:rsidRPr="00F33787">
              <w:rPr>
                <w:sz w:val="24"/>
                <w:lang w:val="en-US"/>
              </w:rPr>
              <w:t>"21",</w:t>
            </w:r>
          </w:p>
        </w:tc>
        <w:tc>
          <w:tcPr>
            <w:tcW w:w="3233" w:type="pct"/>
            <w:gridSpan w:val="4"/>
            <w:tcBorders>
              <w:bottom w:val="single" w:sz="4" w:space="0" w:color="000000"/>
              <w:right w:val="single" w:sz="4" w:space="0" w:color="000000"/>
            </w:tcBorders>
          </w:tcPr>
          <w:p w14:paraId="0C7D96D4" w14:textId="77777777" w:rsidR="002E1316" w:rsidRPr="00F33787" w:rsidRDefault="008F0036" w:rsidP="00327AEE">
            <w:pPr>
              <w:pStyle w:val="TableParagraph"/>
              <w:spacing w:after="120"/>
              <w:ind w:left="0"/>
              <w:rPr>
                <w:sz w:val="24"/>
              </w:rPr>
            </w:pPr>
            <w:r w:rsidRPr="00F33787">
              <w:rPr>
                <w:sz w:val="24"/>
                <w:lang w:val="en-US"/>
              </w:rPr>
              <w:t>2019</w:t>
            </w:r>
          </w:p>
        </w:tc>
      </w:tr>
    </w:tbl>
    <w:p w14:paraId="02D22412" w14:textId="77777777" w:rsidR="002E1316" w:rsidRDefault="008F0036" w:rsidP="002E1316"/>
    <w:p w14:paraId="52BE8B8C" w14:textId="77777777" w:rsidR="002E1316" w:rsidRDefault="008F0036" w:rsidP="002E1316"/>
    <w:sectPr w:rsidR="002E1316" w:rsidSect="002E1316">
      <w:pgSz w:w="12240" w:h="15840"/>
      <w:pgMar w:top="851"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E6999"/>
    <w:multiLevelType w:val="hybridMultilevel"/>
    <w:tmpl w:val="D450922C"/>
    <w:lvl w:ilvl="0" w:tplc="880CD9E4">
      <w:numFmt w:val="bullet"/>
      <w:lvlText w:val="-"/>
      <w:lvlJc w:val="left"/>
      <w:pPr>
        <w:ind w:left="26" w:hanging="231"/>
      </w:pPr>
      <w:rPr>
        <w:rFonts w:ascii="Times New Roman" w:eastAsia="Times New Roman" w:hAnsi="Times New Roman" w:cs="Times New Roman" w:hint="default"/>
        <w:b/>
        <w:bCs/>
        <w:i/>
        <w:w w:val="100"/>
        <w:sz w:val="23"/>
        <w:szCs w:val="23"/>
        <w:lang w:val="ru-RU" w:eastAsia="ru-RU" w:bidi="ru-RU"/>
      </w:rPr>
    </w:lvl>
    <w:lvl w:ilvl="1" w:tplc="B10210E0">
      <w:numFmt w:val="bullet"/>
      <w:lvlText w:val="•"/>
      <w:lvlJc w:val="left"/>
      <w:pPr>
        <w:ind w:left="966" w:hanging="231"/>
      </w:pPr>
      <w:rPr>
        <w:rFonts w:hint="default"/>
        <w:lang w:val="ru-RU" w:eastAsia="ru-RU" w:bidi="ru-RU"/>
      </w:rPr>
    </w:lvl>
    <w:lvl w:ilvl="2" w:tplc="D65AC238">
      <w:numFmt w:val="bullet"/>
      <w:lvlText w:val="•"/>
      <w:lvlJc w:val="left"/>
      <w:pPr>
        <w:ind w:left="1913" w:hanging="231"/>
      </w:pPr>
      <w:rPr>
        <w:rFonts w:hint="default"/>
        <w:lang w:val="ru-RU" w:eastAsia="ru-RU" w:bidi="ru-RU"/>
      </w:rPr>
    </w:lvl>
    <w:lvl w:ilvl="3" w:tplc="6884F7D0">
      <w:numFmt w:val="bullet"/>
      <w:lvlText w:val="•"/>
      <w:lvlJc w:val="left"/>
      <w:pPr>
        <w:ind w:left="2860" w:hanging="231"/>
      </w:pPr>
      <w:rPr>
        <w:rFonts w:hint="default"/>
        <w:lang w:val="ru-RU" w:eastAsia="ru-RU" w:bidi="ru-RU"/>
      </w:rPr>
    </w:lvl>
    <w:lvl w:ilvl="4" w:tplc="A75AAACC">
      <w:numFmt w:val="bullet"/>
      <w:lvlText w:val="•"/>
      <w:lvlJc w:val="left"/>
      <w:pPr>
        <w:ind w:left="3807" w:hanging="231"/>
      </w:pPr>
      <w:rPr>
        <w:rFonts w:hint="default"/>
        <w:lang w:val="ru-RU" w:eastAsia="ru-RU" w:bidi="ru-RU"/>
      </w:rPr>
    </w:lvl>
    <w:lvl w:ilvl="5" w:tplc="FE34C13E">
      <w:numFmt w:val="bullet"/>
      <w:lvlText w:val="•"/>
      <w:lvlJc w:val="left"/>
      <w:pPr>
        <w:ind w:left="4754" w:hanging="231"/>
      </w:pPr>
      <w:rPr>
        <w:rFonts w:hint="default"/>
        <w:lang w:val="ru-RU" w:eastAsia="ru-RU" w:bidi="ru-RU"/>
      </w:rPr>
    </w:lvl>
    <w:lvl w:ilvl="6" w:tplc="1B141120">
      <w:numFmt w:val="bullet"/>
      <w:lvlText w:val="•"/>
      <w:lvlJc w:val="left"/>
      <w:pPr>
        <w:ind w:left="5701" w:hanging="231"/>
      </w:pPr>
      <w:rPr>
        <w:rFonts w:hint="default"/>
        <w:lang w:val="ru-RU" w:eastAsia="ru-RU" w:bidi="ru-RU"/>
      </w:rPr>
    </w:lvl>
    <w:lvl w:ilvl="7" w:tplc="58622A72">
      <w:numFmt w:val="bullet"/>
      <w:lvlText w:val="•"/>
      <w:lvlJc w:val="left"/>
      <w:pPr>
        <w:ind w:left="6648" w:hanging="231"/>
      </w:pPr>
      <w:rPr>
        <w:rFonts w:hint="default"/>
        <w:lang w:val="ru-RU" w:eastAsia="ru-RU" w:bidi="ru-RU"/>
      </w:rPr>
    </w:lvl>
    <w:lvl w:ilvl="8" w:tplc="D0FA9E36">
      <w:numFmt w:val="bullet"/>
      <w:lvlText w:val="•"/>
      <w:lvlJc w:val="left"/>
      <w:pPr>
        <w:ind w:left="7595" w:hanging="231"/>
      </w:pPr>
      <w:rPr>
        <w:rFonts w:hint="default"/>
        <w:lang w:val="ru-RU" w:eastAsia="ru-RU" w:bidi="ru-RU"/>
      </w:rPr>
    </w:lvl>
  </w:abstractNum>
  <w:abstractNum w:abstractNumId="1" w15:restartNumberingAfterBreak="0">
    <w:nsid w:val="726A1B12"/>
    <w:multiLevelType w:val="multilevel"/>
    <w:tmpl w:val="784C7EA4"/>
    <w:lvl w:ilvl="0">
      <w:start w:val="2"/>
      <w:numFmt w:val="decimal"/>
      <w:lvlText w:val="%1"/>
      <w:lvlJc w:val="left"/>
      <w:pPr>
        <w:ind w:left="26" w:hanging="408"/>
        <w:jc w:val="left"/>
      </w:pPr>
      <w:rPr>
        <w:rFonts w:hint="default"/>
        <w:lang w:val="ru-RU" w:eastAsia="ru-RU" w:bidi="ru-RU"/>
      </w:rPr>
    </w:lvl>
    <w:lvl w:ilvl="1">
      <w:start w:val="1"/>
      <w:numFmt w:val="decimal"/>
      <w:lvlText w:val="%1.%2."/>
      <w:lvlJc w:val="left"/>
      <w:pPr>
        <w:ind w:left="26" w:hanging="408"/>
        <w:jc w:val="left"/>
      </w:pPr>
      <w:rPr>
        <w:rFonts w:hint="default"/>
        <w:b w:val="0"/>
        <w:i w:val="0"/>
        <w:w w:val="100"/>
        <w:lang w:val="ru-RU" w:eastAsia="ru-RU" w:bidi="ru-RU"/>
      </w:rPr>
    </w:lvl>
    <w:lvl w:ilvl="2">
      <w:numFmt w:val="bullet"/>
      <w:lvlText w:val="•"/>
      <w:lvlJc w:val="left"/>
      <w:pPr>
        <w:ind w:left="1913" w:hanging="408"/>
      </w:pPr>
      <w:rPr>
        <w:rFonts w:hint="default"/>
        <w:lang w:val="ru-RU" w:eastAsia="ru-RU" w:bidi="ru-RU"/>
      </w:rPr>
    </w:lvl>
    <w:lvl w:ilvl="3">
      <w:numFmt w:val="bullet"/>
      <w:lvlText w:val="•"/>
      <w:lvlJc w:val="left"/>
      <w:pPr>
        <w:ind w:left="2860" w:hanging="408"/>
      </w:pPr>
      <w:rPr>
        <w:rFonts w:hint="default"/>
        <w:lang w:val="ru-RU" w:eastAsia="ru-RU" w:bidi="ru-RU"/>
      </w:rPr>
    </w:lvl>
    <w:lvl w:ilvl="4">
      <w:numFmt w:val="bullet"/>
      <w:lvlText w:val="•"/>
      <w:lvlJc w:val="left"/>
      <w:pPr>
        <w:ind w:left="3807" w:hanging="408"/>
      </w:pPr>
      <w:rPr>
        <w:rFonts w:hint="default"/>
        <w:lang w:val="ru-RU" w:eastAsia="ru-RU" w:bidi="ru-RU"/>
      </w:rPr>
    </w:lvl>
    <w:lvl w:ilvl="5">
      <w:numFmt w:val="bullet"/>
      <w:lvlText w:val="•"/>
      <w:lvlJc w:val="left"/>
      <w:pPr>
        <w:ind w:left="4754" w:hanging="408"/>
      </w:pPr>
      <w:rPr>
        <w:rFonts w:hint="default"/>
        <w:lang w:val="ru-RU" w:eastAsia="ru-RU" w:bidi="ru-RU"/>
      </w:rPr>
    </w:lvl>
    <w:lvl w:ilvl="6">
      <w:numFmt w:val="bullet"/>
      <w:lvlText w:val="•"/>
      <w:lvlJc w:val="left"/>
      <w:pPr>
        <w:ind w:left="5701" w:hanging="408"/>
      </w:pPr>
      <w:rPr>
        <w:rFonts w:hint="default"/>
        <w:lang w:val="ru-RU" w:eastAsia="ru-RU" w:bidi="ru-RU"/>
      </w:rPr>
    </w:lvl>
    <w:lvl w:ilvl="7">
      <w:numFmt w:val="bullet"/>
      <w:lvlText w:val="•"/>
      <w:lvlJc w:val="left"/>
      <w:pPr>
        <w:ind w:left="6648" w:hanging="408"/>
      </w:pPr>
      <w:rPr>
        <w:rFonts w:hint="default"/>
        <w:lang w:val="ru-RU" w:eastAsia="ru-RU" w:bidi="ru-RU"/>
      </w:rPr>
    </w:lvl>
    <w:lvl w:ilvl="8">
      <w:numFmt w:val="bullet"/>
      <w:lvlText w:val="•"/>
      <w:lvlJc w:val="left"/>
      <w:pPr>
        <w:ind w:left="7595" w:hanging="408"/>
      </w:pPr>
      <w:rPr>
        <w:rFonts w:hint="default"/>
        <w:lang w:val="ru-RU" w:eastAsia="ru-RU" w:bidi="ru-RU"/>
      </w:rPr>
    </w:lvl>
  </w:abstractNum>
  <w:abstractNum w:abstractNumId="2" w15:restartNumberingAfterBreak="0">
    <w:nsid w:val="7A804BBC"/>
    <w:multiLevelType w:val="multilevel"/>
    <w:tmpl w:val="A08A4614"/>
    <w:lvl w:ilvl="0">
      <w:start w:val="2"/>
      <w:numFmt w:val="decimal"/>
      <w:lvlText w:val="%1"/>
      <w:lvlJc w:val="left"/>
      <w:pPr>
        <w:ind w:left="26" w:hanging="406"/>
        <w:jc w:val="left"/>
      </w:pPr>
      <w:rPr>
        <w:rFonts w:hint="default"/>
        <w:lang w:val="ru-RU" w:eastAsia="ru-RU" w:bidi="ru-RU"/>
      </w:rPr>
    </w:lvl>
    <w:lvl w:ilvl="1">
      <w:start w:val="6"/>
      <w:numFmt w:val="decimal"/>
      <w:lvlText w:val="%1.%2."/>
      <w:lvlJc w:val="left"/>
      <w:pPr>
        <w:ind w:left="26" w:hanging="406"/>
        <w:jc w:val="left"/>
      </w:pPr>
      <w:rPr>
        <w:rFonts w:ascii="Times New Roman" w:eastAsia="Times New Roman" w:hAnsi="Times New Roman" w:cs="Times New Roman" w:hint="default"/>
        <w:b w:val="0"/>
        <w:i w:val="0"/>
        <w:w w:val="100"/>
        <w:sz w:val="23"/>
        <w:szCs w:val="23"/>
        <w:lang w:val="ru-RU" w:eastAsia="ru-RU" w:bidi="ru-RU"/>
      </w:rPr>
    </w:lvl>
    <w:lvl w:ilvl="2">
      <w:numFmt w:val="bullet"/>
      <w:lvlText w:val="•"/>
      <w:lvlJc w:val="left"/>
      <w:pPr>
        <w:ind w:left="1913" w:hanging="406"/>
      </w:pPr>
      <w:rPr>
        <w:rFonts w:hint="default"/>
        <w:lang w:val="ru-RU" w:eastAsia="ru-RU" w:bidi="ru-RU"/>
      </w:rPr>
    </w:lvl>
    <w:lvl w:ilvl="3">
      <w:numFmt w:val="bullet"/>
      <w:lvlText w:val="•"/>
      <w:lvlJc w:val="left"/>
      <w:pPr>
        <w:ind w:left="2860" w:hanging="406"/>
      </w:pPr>
      <w:rPr>
        <w:rFonts w:hint="default"/>
        <w:lang w:val="ru-RU" w:eastAsia="ru-RU" w:bidi="ru-RU"/>
      </w:rPr>
    </w:lvl>
    <w:lvl w:ilvl="4">
      <w:numFmt w:val="bullet"/>
      <w:lvlText w:val="•"/>
      <w:lvlJc w:val="left"/>
      <w:pPr>
        <w:ind w:left="3807" w:hanging="406"/>
      </w:pPr>
      <w:rPr>
        <w:rFonts w:hint="default"/>
        <w:lang w:val="ru-RU" w:eastAsia="ru-RU" w:bidi="ru-RU"/>
      </w:rPr>
    </w:lvl>
    <w:lvl w:ilvl="5">
      <w:numFmt w:val="bullet"/>
      <w:lvlText w:val="•"/>
      <w:lvlJc w:val="left"/>
      <w:pPr>
        <w:ind w:left="4754" w:hanging="406"/>
      </w:pPr>
      <w:rPr>
        <w:rFonts w:hint="default"/>
        <w:lang w:val="ru-RU" w:eastAsia="ru-RU" w:bidi="ru-RU"/>
      </w:rPr>
    </w:lvl>
    <w:lvl w:ilvl="6">
      <w:numFmt w:val="bullet"/>
      <w:lvlText w:val="•"/>
      <w:lvlJc w:val="left"/>
      <w:pPr>
        <w:ind w:left="5700" w:hanging="406"/>
      </w:pPr>
      <w:rPr>
        <w:rFonts w:hint="default"/>
        <w:lang w:val="ru-RU" w:eastAsia="ru-RU" w:bidi="ru-RU"/>
      </w:rPr>
    </w:lvl>
    <w:lvl w:ilvl="7">
      <w:numFmt w:val="bullet"/>
      <w:lvlText w:val="•"/>
      <w:lvlJc w:val="left"/>
      <w:pPr>
        <w:ind w:left="6647" w:hanging="406"/>
      </w:pPr>
      <w:rPr>
        <w:rFonts w:hint="default"/>
        <w:lang w:val="ru-RU" w:eastAsia="ru-RU" w:bidi="ru-RU"/>
      </w:rPr>
    </w:lvl>
    <w:lvl w:ilvl="8">
      <w:numFmt w:val="bullet"/>
      <w:lvlText w:val="•"/>
      <w:lvlJc w:val="left"/>
      <w:pPr>
        <w:ind w:left="7594" w:hanging="406"/>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B04D2"/>
    <w:rsid w:val="008F0036"/>
    <w:rsid w:val="00BB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2F6E"/>
  <w15:docId w15:val="{44F0FE04-139B-40D2-A887-0AC24DC7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D04DD"/>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BD04DD"/>
    <w:tblPr>
      <w:tblInd w:w="0" w:type="dxa"/>
      <w:tblCellMar>
        <w:top w:w="0" w:type="dxa"/>
        <w:left w:w="0" w:type="dxa"/>
        <w:bottom w:w="0" w:type="dxa"/>
        <w:right w:w="0" w:type="dxa"/>
      </w:tblCellMar>
    </w:tblPr>
  </w:style>
  <w:style w:type="paragraph" w:styleId="a3">
    <w:name w:val="Body Text"/>
    <w:basedOn w:val="a"/>
    <w:uiPriority w:val="1"/>
    <w:qFormat/>
    <w:rsid w:val="00BD04DD"/>
    <w:pPr>
      <w:ind w:left="731"/>
    </w:pPr>
    <w:rPr>
      <w:b/>
      <w:bCs/>
      <w:sz w:val="23"/>
      <w:szCs w:val="23"/>
    </w:rPr>
  </w:style>
  <w:style w:type="paragraph" w:styleId="a4">
    <w:name w:val="List Paragraph"/>
    <w:basedOn w:val="a"/>
    <w:uiPriority w:val="1"/>
    <w:qFormat/>
    <w:rsid w:val="00BD04DD"/>
  </w:style>
  <w:style w:type="paragraph" w:customStyle="1" w:styleId="TableParagraph">
    <w:name w:val="Table Paragraph"/>
    <w:basedOn w:val="a"/>
    <w:uiPriority w:val="1"/>
    <w:qFormat/>
    <w:rsid w:val="00BD04DD"/>
    <w:pPr>
      <w:ind w:left="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k-yug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user</dc:creator>
  <cp:lastModifiedBy>Елизавета Пантина</cp:lastModifiedBy>
  <cp:revision>6</cp:revision>
  <dcterms:created xsi:type="dcterms:W3CDTF">2019-12-29T06:52:00Z</dcterms:created>
  <dcterms:modified xsi:type="dcterms:W3CDTF">2020-01-20T13:39:00Z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Microsoft® Word 2016</vt:lpwstr>
  </property>
  <property fmtid="{D5CDD505-2E9C-101B-9397-08002B2CF9AE}" pid="4" name="LastSaved">
    <vt:filetime>2019-12-29T00:00:00Z</vt:filetime>
  </property>
</Properties>
</file>